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VICE - DIRETORA DA ESCOLA MUNICIPAL EUGÊNIA SCHARLÉ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 JOÃO MONLEVADE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Nomeia, a partir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janeiro de 2021,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 da Conceição Brandão Dias,</w:t>
      </w:r>
      <w:r w:rsidDel="00000000" w:rsidR="00000000" w:rsidRPr="00000000">
        <w:rPr>
          <w:rFonts w:ascii="Arial" w:cs="Arial" w:eastAsia="Arial" w:hAnsi="Arial"/>
          <w:rtl w:val="0"/>
        </w:rPr>
        <w:t xml:space="preserve"> ocupante do cargo de vice-diretora da Escola Municipal Eugênia Scharlé.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primeiro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