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FEVEREIRO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3969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3969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3969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4536" w:firstLine="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NOMEIA APROVADO(A) EM PROCESSO SELETIVO SIMPLIFICADO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424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no desempenho de suas atribuições legais, conferidas pelo art. 52, inciso VI, da Lei Orgânica Municipal, nomeia o candidato do Concurso Público n° 01/2021, do Município de João Monlevade.  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Nomeia, o candidato(a) abaixo discriminado(a) e aprovado(a) no 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Processo Seletivo simplificado n° 01/2021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para o cargo de  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Médico Plantonista,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com carga horária de 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06 horas corridas por dia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, conforme ordem de classificação a seguir: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Mayura Gonçalves Barbosa Cardoso, 4º lugar.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    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Esta Portaria entrará em vigor na data de sua publicação.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fevereiro de 2021.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Prefeito Municipal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Registrado e publicado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décimo nono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fevereiro.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Assessor de Governo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209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-252727</wp:posOffset>
          </wp:positionH>
          <wp:positionV relativeFrom="paragraph">
            <wp:posOffset>-400047</wp:posOffset>
          </wp:positionV>
          <wp:extent cx="6657975" cy="687070"/>
          <wp:effectExtent b="0" l="0" r="0" t="0"/>
          <wp:wrapSquare wrapText="bothSides" distB="0" distT="0" distL="0" distR="0"/>
          <wp:docPr id="10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57975" cy="687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1fob9te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625725" cy="815975"/>
          <wp:effectExtent b="0" l="0" r="0" t="0"/>
          <wp:docPr id="1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5725" cy="815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rpodetextoChar1">
    <w:name w:val="Corpo de texto Char1"/>
    <w:next w:val="CorpodetextoChar1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rpodetexto2Char1">
    <w:name w:val="Corpo de texto 2 Char1"/>
    <w:next w:val="Corpodetexto2Char1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7n/j6HlagukBQ997WQVECSANTw==">AMUW2mV4fQ6xWYLpy6Cr9y6l641FDmpWj8EIUYr6nfnzkcCTErRk16VieYvROLwQooq3GLG0gBlFRDAZVq2EjSmdIcYYCFCVJbUCKxiU3s+Vmc9ARzpc2xnyOIotsQxuhwf3+2FmCnjS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2021-02-19T17:57:00Z</dcterms:created>
  <dc:creator>Claira Ferreira</dc:creator>
</cp:coreProperties>
</file>